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California Public Records Act request — Glass House citation, ownership, financial interests, farm tours, GHR/NSJB approvals, and related-person records</w:t>
      </w:r>
    </w:p>
    <w:p>
      <w:pPr>
        <w:pStyle w:val="FirstParagraph"/>
      </w:pPr>
      <w:r>
        <w:t xml:space="preserve">I write in good faith to request information, records, and clarification concerning the relationships among Dalton Investments, Rosenwald Capital Management, Kings Bay, Rosenwald Partners, Beach Front, and Glass House Brands. This is a broad inquiry because the publicly disclosed ownership, financing, personnel, family, advisory, real-estate, insurance, and governance relationships cross entity lines.</w:t>
      </w:r>
    </w:p>
    <w:p>
      <w:pPr>
        <w:pStyle w:val="BodyText"/>
      </w:pPr>
      <w:r>
        <w:t xml:space="preserve">This letter does not accuse any person or entity of misconduct. It asks you to confirm, correct, or explain my understanding and to provide the records that permit an informed assessment. Where I rely on first-hand experience rather than a public filing, I say so expressly.</w:t>
      </w:r>
    </w:p>
    <w:p>
      <w:pPr>
        <w:pStyle w:val="BodyText"/>
      </w:pPr>
      <w:r>
        <w:t xml:space="preserve">Please respond within 21 days. If you cannot complete the response in that period, identify what you can provide, designate a response coordinator, and give a firm production schedule. If a premise is wrong, please state the correction and provide the record that resolves it.</w:t>
      </w:r>
    </w:p>
    <w:bookmarkStart w:id="9" w:name="basis-for-inquiry"/>
    <w:p>
      <w:pPr>
        <w:pStyle w:val="Heading2"/>
      </w:pPr>
      <w:r>
        <w:t xml:space="preserve">Basis for inquiry</w:t>
      </w:r>
    </w:p>
    <w:p>
      <w:pPr>
        <w:pStyle w:val="Compact"/>
        <w:numPr>
          <w:ilvl w:val="0"/>
          <w:numId w:val="1001"/>
        </w:numPr>
      </w:pPr>
      <w:r>
        <w:t xml:space="preserve">This request seeks agency records concerning a public citation, licensing ownership and financial interests, visitor/access controls, and the June 2026 ownership transaction.</w:t>
      </w:r>
    </w:p>
    <w:bookmarkEnd w:id="9"/>
    <w:bookmarkStart w:id="10" w:name="citation-and-compliance-action"/>
    <w:p>
      <w:pPr>
        <w:pStyle w:val="Heading2"/>
      </w:pPr>
      <w:r>
        <w:t xml:space="preserve">Citation and compliance action</w:t>
      </w:r>
    </w:p>
    <w:p>
      <w:pPr>
        <w:pStyle w:val="Compact"/>
        <w:numPr>
          <w:ilvl w:val="0"/>
          <w:numId w:val="1002"/>
        </w:numPr>
      </w:pPr>
      <w:r>
        <w:t xml:space="preserve">Produce the complete citation-and-fine file for CCL21-0005116, including the citation, amount, findings, inspection evidence, service, corrective action, conference or hearing, appeal, settlement, payment, and finality.</w:t>
      </w:r>
    </w:p>
    <w:bookmarkEnd w:id="10"/>
    <w:bookmarkStart w:id="11" w:name="X5beaa68931d4a6bfce2f2b9a2d2549eade26160"/>
    <w:p>
      <w:pPr>
        <w:pStyle w:val="Heading2"/>
      </w:pPr>
      <w:r>
        <w:t xml:space="preserve">Ownership, financial interests, and approvals</w:t>
      </w:r>
    </w:p>
    <w:p>
      <w:pPr>
        <w:pStyle w:val="Compact"/>
        <w:numPr>
          <w:ilvl w:val="0"/>
          <w:numId w:val="1003"/>
        </w:numPr>
      </w:pPr>
      <w:r>
        <w:t xml:space="preserve">Produce all owner, financial-interest-holder, change-of-control, change-of-ownership, designated-responsible-party, license-modification, background, and approval records involving Glass House Retail, GHB Usub, Glass House Brands, NSJB, Beilke, Sarris, Dalton, RCM, Kings Bay, Rosenwald persons, and Beach Front persons or entities.</w:t>
      </w:r>
    </w:p>
    <w:p>
      <w:pPr>
        <w:pStyle w:val="Compact"/>
        <w:numPr>
          <w:ilvl w:val="0"/>
          <w:numId w:val="1003"/>
        </w:numPr>
      </w:pPr>
      <w:r>
        <w:t xml:space="preserve">Identify every investor, adviser, lender, noteholder, guarantor, consultant, service provider, or financial-interest holder disclosed to DCC but not identified in public securities filings.</w:t>
      </w:r>
    </w:p>
    <w:p>
      <w:pPr>
        <w:pStyle w:val="Compact"/>
        <w:numPr>
          <w:ilvl w:val="0"/>
          <w:numId w:val="1003"/>
        </w:numPr>
      </w:pPr>
      <w:r>
        <w:t xml:space="preserve">Produce premises-access, visitor, sign-in/sign-out, age verification, confidentiality, ownership, financial-interest, and compliance records relating to tours or visits by Dalton, RCM, Kings Bay, Beach Front, investors, or family guests.</w:t>
      </w:r>
    </w:p>
    <w:bookmarkEnd w:id="11"/>
    <w:bookmarkStart w:id="12" w:name="additional-records"/>
    <w:p>
      <w:pPr>
        <w:pStyle w:val="Heading2"/>
      </w:pPr>
      <w:r>
        <w:t xml:space="preserve">Additional records</w:t>
      </w:r>
    </w:p>
    <w:p>
      <w:pPr>
        <w:pStyle w:val="Compact"/>
        <w:numPr>
          <w:ilvl w:val="0"/>
          <w:numId w:val="1004"/>
        </w:numPr>
      </w:pPr>
      <w:r>
        <w:t xml:space="preserve">Produce communications with Glass House, counsel, auditors, NYSE, SEC, DOL, DHS/ICE/HSI/CBP, Cal/OSHA, local agencies, investors, lenders, and farm labor contractors concerning the requested matters.</w:t>
      </w:r>
    </w:p>
    <w:p>
      <w:pPr>
        <w:pStyle w:val="Compact"/>
        <w:numPr>
          <w:ilvl w:val="0"/>
          <w:numId w:val="1004"/>
        </w:numPr>
      </w:pPr>
      <w:r>
        <w:t xml:space="preserve">Produce application checklists, deficiency notices, background/suitability materials, organizational charts, cap tables, source-of-funds records, approval/denial/acknowledgment letters, and conditions or waivers.</w:t>
      </w:r>
    </w:p>
    <w:bookmarkEnd w:id="12"/>
    <w:bookmarkStart w:id="13" w:name="cpra-processing"/>
    <w:p>
      <w:pPr>
        <w:pStyle w:val="Heading2"/>
      </w:pPr>
      <w:r>
        <w:t xml:space="preserve">CPRA processing</w:t>
      </w:r>
    </w:p>
    <w:p>
      <w:pPr>
        <w:pStyle w:val="Compact"/>
        <w:numPr>
          <w:ilvl w:val="0"/>
          <w:numId w:val="1005"/>
        </w:numPr>
      </w:pPr>
      <w:r>
        <w:t xml:space="preserve">Construe the request broadly; produce all segregable nonexempt portions electronically; identify exemptions and provide an adequate withholding log; provide rolling production; and contact me before denying, closing, or materially narrowing the request.</w:t>
      </w:r>
    </w:p>
    <w:bookmarkEnd w:id="13"/>
    <w:bookmarkStart w:id="14" w:name="closing"/>
    <w:p>
      <w:pPr>
        <w:pStyle w:val="Heading2"/>
      </w:pPr>
      <w:r>
        <w:t xml:space="preserve">Closing</w:t>
      </w:r>
    </w:p>
    <w:p>
      <w:pPr>
        <w:pStyle w:val="FirstParagraph"/>
      </w:pPr>
      <w:r>
        <w:t xml:space="preserve">I welcome straightforward explanations and corrections. Please do not answer only for the formal legal entity if responsive information is held by an affiliate or service provider. The purpose is to obtain a coherent account of the relationships and the records needed to understand who invested, who advised, who controlled, who was paid, who approved each transaction, and what was disclosed to clients, investors, auditors, exchanges, and regulators.</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5">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Public Records Act request — Glass House citation, ownership, financial interests, farm tours, GHR/NSJB approvals, and related-person records</dc:title>
  <dc:creator/>
  <cp:keywords/>
  <dcterms:created xsi:type="dcterms:W3CDTF">2026-07-10T07:15:03Z</dcterms:created>
  <dcterms:modified xsi:type="dcterms:W3CDTF">2026-07-10T07:15:03Z</dcterms:modified>
</cp:coreProperties>
</file>

<file path=docProps/custom.xml><?xml version="1.0" encoding="utf-8"?>
<Properties xmlns="http://schemas.openxmlformats.org/officeDocument/2006/custom-properties" xmlns:vt="http://schemas.openxmlformats.org/officeDocument/2006/docPropsVTypes"/>
</file>