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Public-record request — Dalton Investments, NFA Case 06-BCC-012, seven pools, final decision, and compliance disposition</w:t>
      </w:r>
    </w:p>
    <w:p>
      <w:pPr>
        <w:pStyle w:val="FirstParagraph"/>
      </w:pPr>
      <w:r>
        <w:t xml:space="preserve">I write in good faith to request information, records, and clarification concerning the relationships among Dalton Investments, Rosenwald Capital Management, Kings Bay, Rosenwald Partners, Beach Front, and Glass House Brands. This is a broad inquiry because the publicly disclosed ownership, financing, personnel, family, advisory, real-estate, insurance, and governance relationships cross entity lines.</w:t>
      </w:r>
    </w:p>
    <w:p>
      <w:pPr>
        <w:pStyle w:val="BodyText"/>
      </w:pPr>
      <w:r>
        <w:t xml:space="preserve">This letter does not accuse any person or entity of misconduct. It asks you to confirm, correct, or explain my understanding and to provide the records that permit an informed assessment. Where I rely on first-hand experience rather than a public filing, I say so expressly.</w:t>
      </w:r>
    </w:p>
    <w:p>
      <w:pPr>
        <w:pStyle w:val="BodyText"/>
      </w:pPr>
      <w:r>
        <w:t xml:space="preserve">Please respond within 21 days. If you cannot complete the response in that period, identify what you can provide, designate a response coordinator, and give a firm production schedule. If a premise is wrong, please state the correction and provide the record that resolves it.</w:t>
      </w:r>
    </w:p>
    <w:bookmarkStart w:id="9" w:name="basis-for-inquiry"/>
    <w:p>
      <w:pPr>
        <w:pStyle w:val="Heading2"/>
      </w:pPr>
      <w:r>
        <w:t xml:space="preserve">Basis for inquiry</w:t>
      </w:r>
    </w:p>
    <w:p>
      <w:pPr>
        <w:pStyle w:val="Compact"/>
        <w:numPr>
          <w:ilvl w:val="0"/>
          <w:numId w:val="1001"/>
        </w:numPr>
      </w:pPr>
      <w:r>
        <w:t xml:space="preserve">Historical Form ADV materials disclose an NFA action concerning late annual reports for seven pools, a $10,000 settlement, and an October 12, 2006 final decision.</w:t>
      </w:r>
    </w:p>
    <w:bookmarkEnd w:id="9"/>
    <w:bookmarkStart w:id="10" w:name="requested-records"/>
    <w:p>
      <w:pPr>
        <w:pStyle w:val="Heading2"/>
      </w:pPr>
      <w:r>
        <w:t xml:space="preserve">Requested records</w:t>
      </w:r>
    </w:p>
    <w:p>
      <w:pPr>
        <w:pStyle w:val="Compact"/>
        <w:numPr>
          <w:ilvl w:val="0"/>
          <w:numId w:val="1002"/>
        </w:numPr>
      </w:pPr>
      <w:r>
        <w:t xml:space="preserve">Produce the complaint, notice, case number, case docket, seven pool names, annual reports and due dates, correspondence, offer of settlement, final decision, fine/payment record, compliance follow-up, and public disciplinary history.</w:t>
      </w:r>
    </w:p>
    <w:p>
      <w:pPr>
        <w:pStyle w:val="Compact"/>
        <w:numPr>
          <w:ilvl w:val="0"/>
          <w:numId w:val="1002"/>
        </w:numPr>
      </w:pPr>
      <w:r>
        <w:t xml:space="preserve">Identify the respondent’s exact legal name, NFA IDs, principals, associated persons, CPO/CTA registrations, and successor/predecessor treatment.</w:t>
      </w:r>
    </w:p>
    <w:p>
      <w:pPr>
        <w:pStyle w:val="Compact"/>
        <w:numPr>
          <w:ilvl w:val="0"/>
          <w:numId w:val="1002"/>
        </w:numPr>
      </w:pPr>
      <w:r>
        <w:t xml:space="preserve">Produce any publicly available later matter involving Dalton, RCM, RCM personnel, the named pools, or successor entities.</w:t>
      </w:r>
    </w:p>
    <w:bookmarkEnd w:id="10"/>
    <w:bookmarkStart w:id="11" w:name="processing"/>
    <w:p>
      <w:pPr>
        <w:pStyle w:val="Heading2"/>
      </w:pPr>
      <w:r>
        <w:t xml:space="preserve">Processing</w:t>
      </w:r>
    </w:p>
    <w:p>
      <w:pPr>
        <w:pStyle w:val="Compact"/>
        <w:numPr>
          <w:ilvl w:val="0"/>
          <w:numId w:val="1003"/>
        </w:numPr>
      </w:pPr>
      <w:r>
        <w:t xml:space="preserve">If records are online, provide stable links and document identifiers. If any portion is unavailable, identify the reason and custodian.</w:t>
      </w:r>
    </w:p>
    <w:bookmarkEnd w:id="11"/>
    <w:bookmarkStart w:id="12" w:name="closing"/>
    <w:p>
      <w:pPr>
        <w:pStyle w:val="Heading2"/>
      </w:pPr>
      <w:r>
        <w:t xml:space="preserve">Closing</w:t>
      </w:r>
    </w:p>
    <w:p>
      <w:pPr>
        <w:pStyle w:val="FirstParagraph"/>
      </w:pPr>
      <w:r>
        <w:t xml:space="preserve">I welcome straightforward explanations and corrections. Please do not answer only for the formal legal entity if responsive information is held by an affiliate or service provider. The purpose is to obtain a coherent account of the relationships and the records needed to understand who invested, who advised, who controlled, who was paid, who approved each transaction, and what was disclosed to clients, investors, auditors, exchanges, and regulators.</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Public-record request — Dalton Investments, NFA Case 06-BCC-012, seven pools, final decision, and compliance disposition</dc:title>
  <dc:creator/>
  <cp:keywords/>
  <dcterms:created xsi:type="dcterms:W3CDTF">2026-07-10T07:14:58Z</dcterms:created>
  <dcterms:modified xsi:type="dcterms:W3CDTF">2026-07-10T07:14:58Z</dcterms:modified>
</cp:coreProperties>
</file>

<file path=docProps/custom.xml><?xml version="1.0" encoding="utf-8"?>
<Properties xmlns="http://schemas.openxmlformats.org/officeDocument/2006/custom-properties" xmlns:vt="http://schemas.openxmlformats.org/officeDocument/2006/docPropsVTypes"/>
</file>